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1"/>
      <w:bookmarkEnd w:id="1"/>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Framework Schedule 7 (Call-Off Award Procedure</w:t>
      </w:r>
      <w:bookmarkStart w:colFirst="0" w:colLast="0" w:name="bookmark=id.30j0zll"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1: Order Procedure</w:t>
      </w:r>
    </w:p>
    <w:p w:rsidR="00000000" w:rsidDel="00000000" w:rsidP="00000000" w:rsidRDefault="00000000" w:rsidRPr="00000000" w14:paraId="00000003">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a Call-Off Contract is awarded</w:t>
      </w:r>
    </w:p>
    <w:p w:rsidR="00000000" w:rsidDel="00000000" w:rsidP="00000000" w:rsidRDefault="00000000" w:rsidRPr="00000000" w14:paraId="0000000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z w:val="24"/>
          <w:szCs w:val="24"/>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5">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z w:val="24"/>
          <w:szCs w:val="24"/>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potential Buyer can determine that:</w:t>
      </w:r>
    </w:p>
    <w:p w:rsidR="00000000" w:rsidDel="00000000" w:rsidP="00000000" w:rsidRDefault="00000000" w:rsidRPr="00000000" w14:paraId="0000000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4536"/>
        </w:tabs>
        <w:spacing w:after="220" w:before="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then the Buyer may award a Call-Off Contract in accordance with the procedure set out in Paragraph 2 below.</w:t>
      </w:r>
    </w:p>
    <w:p w:rsidR="00000000" w:rsidDel="00000000" w:rsidP="00000000" w:rsidRDefault="00000000" w:rsidRPr="00000000" w14:paraId="00000009">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all of the terms of the proposed Call-Off Contract are not laid down in this Contract and the potential Buyer:</w:t>
      </w:r>
    </w:p>
    <w:p w:rsidR="00000000" w:rsidDel="00000000" w:rsidP="00000000" w:rsidRDefault="00000000" w:rsidRPr="00000000" w14:paraId="0000000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requires the Supplier to develop proposals or a solution in respect of such Deliverables; and/or</w:t>
      </w:r>
    </w:p>
    <w:p w:rsidR="00000000" w:rsidDel="00000000" w:rsidP="00000000" w:rsidRDefault="00000000" w:rsidRPr="00000000" w14:paraId="0000000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4536"/>
        </w:tabs>
        <w:spacing w:after="220" w:before="0" w:line="240" w:lineRule="auto"/>
        <w:ind w:left="90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then the Buyer may award a Call-Off Contract in accordance with the Further Competition Procedure set out in Paragraph 3 below.</w:t>
      </w:r>
    </w:p>
    <w:p w:rsidR="00000000" w:rsidDel="00000000" w:rsidP="00000000" w:rsidRDefault="00000000" w:rsidRPr="00000000" w14:paraId="0000000D">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a direct award works</w:t>
      </w:r>
    </w:p>
    <w:p w:rsidR="00000000" w:rsidDel="00000000" w:rsidP="00000000" w:rsidRDefault="00000000" w:rsidRPr="00000000" w14:paraId="0000000E">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1.2 above the Buyer awarding a Call-Off Contract under this Contract without holding a further competition shall:</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 a clear Statement of Requirements;</w:t>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the direct award criteria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basis set out above, award the Call-Off Contract with the successful Supplier in accordance with Paragraph 6 below.</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3641"/>
        </w:tabs>
        <w:spacing w:after="120" w:before="120" w:line="240" w:lineRule="auto"/>
        <w:ind w:left="198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a further competition works</w:t>
      </w:r>
    </w:p>
    <w:p w:rsidR="00000000" w:rsidDel="00000000" w:rsidP="00000000" w:rsidRDefault="00000000" w:rsidRPr="00000000" w14:paraId="00000014">
      <w:pPr>
        <w:keepNext w:val="1"/>
        <w:keepLines w:val="0"/>
        <w:widowControl w:val="1"/>
        <w:pBdr>
          <w:top w:space="0" w:sz="0" w:val="nil"/>
          <w:left w:space="0" w:sz="0" w:val="nil"/>
          <w:bottom w:space="0" w:sz="0" w:val="nil"/>
          <w:right w:space="0" w:sz="0" w:val="nil"/>
          <w:between w:space="0" w:sz="0" w:val="nil"/>
        </w:pBdr>
        <w:shd w:fill="auto" w:val="clear"/>
        <w:tabs>
          <w:tab w:val="left" w:pos="3054"/>
        </w:tabs>
        <w:spacing w:after="120" w:before="120" w:line="240" w:lineRule="auto"/>
        <w:ind w:left="1134" w:right="0" w:hanging="77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Buyer has to do</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80" w:before="120" w:line="259" w:lineRule="auto"/>
        <w:ind w:left="1080" w:right="0" w:hanging="36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applicable, the Buyer may use the following procedure to shortlist Suppliers before entering into a Further Competition Procedure: </w:t>
      </w:r>
    </w:p>
    <w:p w:rsidR="00000000" w:rsidDel="00000000" w:rsidP="00000000" w:rsidRDefault="00000000" w:rsidRPr="00000000" w14:paraId="0000001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80" w:before="120" w:line="259" w:lineRule="auto"/>
        <w:ind w:left="261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Filters – The Buyer will produce a Supplier shortlist based on the Service Filters. </w:t>
      </w:r>
    </w:p>
    <w:p w:rsidR="00000000" w:rsidDel="00000000" w:rsidP="00000000" w:rsidRDefault="00000000" w:rsidRPr="00000000" w14:paraId="00000017">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80" w:before="120" w:line="259" w:lineRule="auto"/>
        <w:ind w:left="261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Expression Of Interest (EOI) – The Buyer may use an EOI process to produce a Supplier shortlist. The EOI may contain the following details but is not limited to: scope, scale, timescales, incumbent supplier, grades, payment terms, capacity and/or budget. </w:t>
      </w:r>
    </w:p>
    <w:p w:rsidR="00000000" w:rsidDel="00000000" w:rsidP="00000000" w:rsidRDefault="00000000" w:rsidRPr="00000000" w14:paraId="0000001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80" w:before="120" w:line="259" w:lineRule="auto"/>
        <w:ind w:left="261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Filters and Expression of Interest – The Buyer may use both of the procedures detailed in paragraph 3.1.</w:t>
      </w: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3.1.</w:t>
      </w: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80" w:before="120" w:line="259" w:lineRule="auto"/>
        <w:ind w:left="261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Conference call – The Buyer may use this after the EOI. The Buyer will provide further information on its requirement and Suppliers may have the opportunity to raise queries. </w:t>
      </w:r>
    </w:p>
    <w:p w:rsidR="00000000" w:rsidDel="00000000" w:rsidP="00000000" w:rsidRDefault="00000000" w:rsidRPr="00000000" w14:paraId="0000001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80" w:before="120" w:line="259" w:lineRule="auto"/>
        <w:ind w:left="261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can deselect themselves through the process after the Service Filters and/or EOI and/or conference call. </w:t>
      </w:r>
    </w:p>
    <w:p w:rsidR="00000000" w:rsidDel="00000000" w:rsidP="00000000" w:rsidRDefault="00000000" w:rsidRPr="00000000" w14:paraId="0000001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80" w:before="120" w:line="259" w:lineRule="auto"/>
        <w:ind w:left="1080" w:right="0" w:hanging="36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does not respond to the EOI in accordance with any stated timescales they will not be invited to participate in the Further Competition Procedure. </w:t>
      </w:r>
    </w:p>
    <w:p w:rsidR="00000000" w:rsidDel="00000000" w:rsidP="00000000" w:rsidRDefault="00000000" w:rsidRPr="00000000" w14:paraId="0000001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80" w:before="120" w:line="259" w:lineRule="auto"/>
        <w:ind w:left="1080" w:right="0" w:hanging="36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is invited to the conference call and they do not attend they may not be invited to participate in the Further Competition Procedure. </w:t>
      </w:r>
    </w:p>
    <w:p w:rsidR="00000000" w:rsidDel="00000000" w:rsidP="00000000" w:rsidRDefault="00000000" w:rsidRPr="00000000" w14:paraId="0000001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80" w:before="120" w:line="259" w:lineRule="auto"/>
        <w:ind w:left="1080" w:right="0" w:hanging="36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add or change the Services Filters and the EOI template throughout the lifetime of the Framework Agreement. </w:t>
      </w:r>
    </w:p>
    <w:p w:rsidR="00000000" w:rsidDel="00000000" w:rsidP="00000000" w:rsidRDefault="00000000" w:rsidRPr="00000000" w14:paraId="0000001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80" w:before="120" w:line="259" w:lineRule="auto"/>
        <w:ind w:left="1080" w:right="0" w:hanging="360"/>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update their Service Filters during the lifetime of the Framework Agreement subject to you providing a </w:t>
      </w:r>
      <w:r w:rsidDel="00000000" w:rsidR="00000000" w:rsidRPr="00000000">
        <w:rPr>
          <w:rFonts w:ascii="Arial" w:cs="Arial" w:eastAsia="Arial" w:hAnsi="Arial"/>
          <w:sz w:val="24"/>
          <w:szCs w:val="24"/>
          <w:rtl w:val="0"/>
        </w:rPr>
        <w:t xml:space="preserve">buyer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 </w:t>
      </w:r>
    </w:p>
    <w:p w:rsidR="00000000" w:rsidDel="00000000" w:rsidP="00000000" w:rsidRDefault="00000000" w:rsidRPr="00000000" w14:paraId="0000001F">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awarding a Call-Off Contract under this Contract through a Further Competition Procedure shall:</w:t>
      </w:r>
    </w:p>
    <w:p w:rsidR="00000000" w:rsidDel="00000000" w:rsidP="00000000" w:rsidRDefault="00000000" w:rsidRPr="00000000" w14:paraId="0000002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z w:val="24"/>
          <w:szCs w:val="24"/>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 a Statement of Requirements setting out its requirements for the Deliverables and identify the Suppliers capable of supplying the them;</w:t>
      </w:r>
    </w:p>
    <w:p w:rsidR="00000000" w:rsidDel="00000000" w:rsidP="00000000" w:rsidRDefault="00000000" w:rsidRPr="00000000" w14:paraId="0000002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z w:val="24"/>
          <w:szCs w:val="24"/>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22">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z w:val="24"/>
          <w:szCs w:val="24"/>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invite tenders by conducting a Further Competition Procedure for its Deliverables in accordance with the Regulations and in particular:</w:t>
      </w:r>
    </w:p>
    <w:p w:rsidR="00000000" w:rsidDel="00000000" w:rsidP="00000000" w:rsidRDefault="00000000" w:rsidRPr="00000000" w14:paraId="00000023">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rsidR="00000000" w:rsidDel="00000000" w:rsidP="00000000" w:rsidRDefault="00000000" w:rsidRPr="00000000" w14:paraId="00000024">
      <w:pPr>
        <w:keepNext w:val="1"/>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Electronic Reverse Auction is not used, the Buyer shall:</w:t>
      </w:r>
    </w:p>
    <w:p w:rsidR="00000000" w:rsidDel="00000000" w:rsidP="00000000" w:rsidRDefault="00000000" w:rsidRPr="00000000" w14:paraId="00000025">
      <w:pPr>
        <w:keepNext w:val="0"/>
        <w:keepLines w:val="0"/>
        <w:widowControl w:val="1"/>
        <w:numPr>
          <w:ilvl w:val="4"/>
          <w:numId w:val="1"/>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26">
      <w:pPr>
        <w:keepNext w:val="0"/>
        <w:keepLines w:val="0"/>
        <w:widowControl w:val="1"/>
        <w:numPr>
          <w:ilvl w:val="4"/>
          <w:numId w:val="1"/>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27">
      <w:pPr>
        <w:keepNext w:val="0"/>
        <w:keepLines w:val="0"/>
        <w:widowControl w:val="1"/>
        <w:numPr>
          <w:ilvl w:val="4"/>
          <w:numId w:val="1"/>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keep each tender confidential until the time limit set out for the return of tenders has expired.</w:t>
      </w:r>
    </w:p>
    <w:p w:rsidR="00000000" w:rsidDel="00000000" w:rsidP="00000000" w:rsidRDefault="00000000" w:rsidRPr="00000000" w14:paraId="0000002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the further competition award criteria to the Suppliers' compliant tenders submitted through the Further Competition Procedure as the basis of its decision to award a Call-Off Contract for its Deliverables;</w:t>
      </w:r>
    </w:p>
    <w:p w:rsidR="00000000" w:rsidDel="00000000" w:rsidP="00000000" w:rsidRDefault="00000000" w:rsidRPr="00000000" w14:paraId="00000029">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basis set out above, award its Call-Off Contract to the successful Supplier in accordance with Paragraph 6. The Call-Off Contract shall:</w:t>
      </w:r>
    </w:p>
    <w:p w:rsidR="00000000" w:rsidDel="00000000" w:rsidP="00000000" w:rsidRDefault="00000000" w:rsidRPr="00000000" w14:paraId="0000002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the Deliverables;</w:t>
      </w:r>
    </w:p>
    <w:p w:rsidR="00000000" w:rsidDel="00000000" w:rsidP="00000000" w:rsidRDefault="00000000" w:rsidRPr="00000000" w14:paraId="0000002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the tender submitted by the successful Supplier;</w:t>
      </w:r>
    </w:p>
    <w:p w:rsidR="00000000" w:rsidDel="00000000" w:rsidP="00000000" w:rsidRDefault="00000000" w:rsidRPr="00000000" w14:paraId="0000002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the Charges payable for the Deliverables, including itemising any expenses and any disbursements and their associated cost that the Supplier expects to charge to the Buyer under the Call-Off Contract, in accordance with the tender submitted by the successful Supplier; and</w:t>
      </w:r>
    </w:p>
    <w:p w:rsidR="00000000" w:rsidDel="00000000" w:rsidP="00000000" w:rsidRDefault="00000000" w:rsidRPr="00000000" w14:paraId="0000002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incorporate the terms [of the Order Form and Contract] (as may be amended or refined by the Buyer in accordance with Paragraph 3.1.2. above) applicable to the Deliverables,</w:t>
      </w:r>
    </w:p>
    <w:p w:rsidR="00000000" w:rsidDel="00000000" w:rsidP="00000000" w:rsidRDefault="00000000" w:rsidRPr="00000000" w14:paraId="0000002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unsuccessful Suppliers with written feedback in relation to the reasons why their tenders were unsuccessful.</w:t>
      </w:r>
    </w:p>
    <w:p w:rsidR="00000000" w:rsidDel="00000000" w:rsidP="00000000" w:rsidRDefault="00000000" w:rsidRPr="00000000" w14:paraId="0000002F">
      <w:pPr>
        <w:keepNext w:val="1"/>
        <w:keepLines w:val="0"/>
        <w:widowControl w:val="1"/>
        <w:pBdr>
          <w:top w:space="0" w:sz="0" w:val="nil"/>
          <w:left w:space="0" w:sz="0" w:val="nil"/>
          <w:bottom w:space="0" w:sz="0" w:val="nil"/>
          <w:right w:space="0" w:sz="0" w:val="nil"/>
          <w:between w:space="0" w:sz="0" w:val="nil"/>
        </w:pBdr>
        <w:shd w:fill="auto" w:val="clear"/>
        <w:tabs>
          <w:tab w:val="left" w:pos="305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has to do</w:t>
      </w:r>
    </w:p>
    <w:p w:rsidR="00000000" w:rsidDel="00000000" w:rsidP="00000000" w:rsidRDefault="00000000" w:rsidRPr="00000000" w14:paraId="0000003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b w:val="1"/>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 writing, by the time and date specified by the Buyer following an invitation to tender pursuant to Paragraph 3.1.3 above, provide CCS and the Buyer with either:</w:t>
      </w: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pos="3641"/>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statement to the effect that it does not wish to tender in relation to the Deliverables; or</w:t>
      </w:r>
    </w:p>
    <w:p w:rsidR="00000000" w:rsidDel="00000000" w:rsidP="00000000" w:rsidRDefault="00000000" w:rsidRPr="00000000" w14:paraId="00000033">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3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email response subject line to comprise unique reference number and Supplier name, so as to clearly identify the Supplier;</w:t>
      </w:r>
    </w:p>
    <w:p w:rsidR="00000000" w:rsidDel="00000000" w:rsidP="00000000" w:rsidRDefault="00000000" w:rsidRPr="00000000" w14:paraId="0000003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3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proposal covering the Deliverables, including itemising any expenses and any disbursements and their associated cost that the Supplier expects to charge to the Buyer under the Call-Off Contract;</w:t>
      </w:r>
    </w:p>
    <w:p w:rsidR="00000000" w:rsidDel="00000000" w:rsidP="00000000" w:rsidRDefault="00000000" w:rsidRPr="00000000" w14:paraId="00000037">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38">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confirmation of discounts applicable to the Deliverables, as referenced in Framework Schedule 3 (Framework Prices) (if applicable).</w:t>
      </w:r>
    </w:p>
    <w:p w:rsidR="00000000" w:rsidDel="00000000" w:rsidP="00000000" w:rsidRDefault="00000000" w:rsidRPr="00000000" w14:paraId="0000003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00000" w:rsidDel="00000000" w:rsidP="00000000" w:rsidRDefault="00000000" w:rsidRPr="00000000" w14:paraId="0000003A">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w:t>
      </w:r>
    </w:p>
    <w:p w:rsidR="00000000" w:rsidDel="00000000" w:rsidP="00000000" w:rsidRDefault="00000000" w:rsidRPr="00000000" w14:paraId="0000003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D">
      <w:pPr>
        <w:keepNext w:val="0"/>
        <w:keepLines w:val="0"/>
        <w:widowControl w:val="1"/>
        <w:numPr>
          <w:ilvl w:val="4"/>
          <w:numId w:val="1"/>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E">
      <w:pPr>
        <w:keepNext w:val="0"/>
        <w:keepLines w:val="0"/>
        <w:widowControl w:val="1"/>
        <w:numPr>
          <w:ilvl w:val="4"/>
          <w:numId w:val="1"/>
        </w:numPr>
        <w:pBdr>
          <w:top w:space="0" w:sz="0" w:val="nil"/>
          <w:left w:space="0" w:sz="0" w:val="nil"/>
          <w:bottom w:space="0" w:sz="0" w:val="nil"/>
          <w:right w:space="0" w:sz="0" w:val="nil"/>
          <w:between w:space="0" w:sz="0" w:val="nil"/>
        </w:pBdr>
        <w:shd w:fill="auto" w:val="clear"/>
        <w:tabs>
          <w:tab w:val="left"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No requirement to award</w:t>
      </w:r>
      <w:r w:rsidDel="00000000" w:rsidR="00000000" w:rsidRPr="00000000">
        <w:rPr>
          <w:rtl w:val="0"/>
        </w:rPr>
      </w:r>
    </w:p>
    <w:p w:rsidR="00000000" w:rsidDel="00000000" w:rsidP="00000000" w:rsidRDefault="00000000" w:rsidRPr="00000000" w14:paraId="0000004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41">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Who is responsible for the award</w:t>
      </w:r>
    </w:p>
    <w:p w:rsidR="00000000" w:rsidDel="00000000" w:rsidP="00000000" w:rsidRDefault="00000000" w:rsidRPr="00000000" w14:paraId="0000004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4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Buyer in relation to this Contract; or</w:t>
      </w:r>
    </w:p>
    <w:p w:rsidR="00000000" w:rsidDel="00000000" w:rsidP="00000000" w:rsidRDefault="00000000" w:rsidRPr="00000000" w14:paraId="00000044">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performance or non-performance of any Call-Off Contracts between the Supplier and Buyer entered into pursuant to this Contract.</w:t>
      </w:r>
    </w:p>
    <w:p w:rsidR="00000000" w:rsidDel="00000000" w:rsidP="00000000" w:rsidRDefault="00000000" w:rsidRPr="00000000" w14:paraId="0000004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Awarding and creating a Call-Off Contract</w:t>
      </w:r>
      <w:r w:rsidDel="00000000" w:rsidR="00000000" w:rsidRPr="00000000">
        <w:rPr>
          <w:rtl w:val="0"/>
        </w:rPr>
      </w:r>
    </w:p>
    <w:p w:rsidR="00000000" w:rsidDel="00000000" w:rsidP="00000000" w:rsidRDefault="00000000" w:rsidRPr="00000000" w14:paraId="0000004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z w:val="24"/>
          <w:szCs w:val="24"/>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rsidR="00000000" w:rsidDel="00000000" w:rsidP="00000000" w:rsidRDefault="00000000" w:rsidRPr="00000000" w14:paraId="0000004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4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z w:val="24"/>
          <w:szCs w:val="24"/>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4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4A">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t>
      </w:r>
      <w:r w:rsidDel="00000000" w:rsidR="00000000" w:rsidRPr="00000000">
        <w:rPr>
          <w:rFonts w:ascii="Arial Bold" w:cs="Arial Bold" w:eastAsia="Arial Bold" w:hAnsi="Arial Bold"/>
          <w:b w:val="1"/>
          <w:i w:val="0"/>
          <w:smallCaps w:val="0"/>
          <w:strike w:val="0"/>
          <w:color w:val="000000"/>
          <w:sz w:val="24"/>
          <w:szCs w:val="24"/>
          <w:highlight w:val="yellow"/>
          <w:u w:val="none"/>
          <w:vertAlign w:val="baseline"/>
          <w:rtl w:val="0"/>
        </w:rPr>
        <w:t xml:space="preserve">Guidance:</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this Paragraph if the buyer has the option of using a reverse auction at call-off. </w:t>
      </w:r>
      <w:r w:rsidDel="00000000" w:rsidR="00000000" w:rsidRPr="00000000">
        <w:rPr>
          <w:rtl w:val="0"/>
        </w:rPr>
      </w:r>
    </w:p>
    <w:p w:rsidR="00000000" w:rsidDel="00000000" w:rsidP="00000000" w:rsidRDefault="00000000" w:rsidRPr="00000000" w14:paraId="0000004B">
      <w:pPr>
        <w:keepNext w:val="1"/>
        <w:keepLines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firstLine="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e-auctions work</w:t>
      </w:r>
      <w:r w:rsidDel="00000000" w:rsidR="00000000" w:rsidRPr="00000000">
        <w:rPr>
          <w:rtl w:val="0"/>
        </w:rPr>
      </w:r>
    </w:p>
    <w:p w:rsidR="00000000" w:rsidDel="00000000" w:rsidP="00000000" w:rsidRDefault="00000000" w:rsidRPr="00000000" w14:paraId="0000004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include a reverse auction in the Further Competition Procedure in accordance with the rules laid down by the Buyer and the Regulations.</w:t>
      </w:r>
    </w:p>
    <w:p w:rsidR="00000000" w:rsidDel="00000000" w:rsidP="00000000" w:rsidRDefault="00000000" w:rsidRPr="00000000" w14:paraId="0000004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z w:val="24"/>
          <w:szCs w:val="24"/>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wishes to undertake an electronic reverse auction, where Suppliers compete in real time by bidding as the auction unfolds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"Electronic Reverse Auction"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000000" w:rsidDel="00000000" w:rsidP="00000000" w:rsidRDefault="00000000" w:rsidRPr="00000000" w14:paraId="0000004E">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inform the Suppliers of the specification for the Electronic Reverse Auction which shall include:</w:t>
      </w:r>
    </w:p>
    <w:p w:rsidR="00000000" w:rsidDel="00000000" w:rsidP="00000000" w:rsidRDefault="00000000" w:rsidRPr="00000000" w14:paraId="0000004F">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to be provided at auction, which must be expressed in figures or percentages of the specified quantifiable features;</w:t>
      </w:r>
    </w:p>
    <w:p w:rsidR="00000000" w:rsidDel="00000000" w:rsidP="00000000" w:rsidRDefault="00000000" w:rsidRPr="00000000" w14:paraId="00000050">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mathematical formula to be used to determine automatic ranking of bids on the basis of new prices and/or new values submitted;  </w:t>
      </w:r>
    </w:p>
    <w:p w:rsidR="00000000" w:rsidDel="00000000" w:rsidP="00000000" w:rsidRDefault="00000000" w:rsidRPr="00000000" w14:paraId="00000051">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limits on the values which may be submitted;</w:t>
      </w:r>
    </w:p>
    <w:p w:rsidR="00000000" w:rsidDel="00000000" w:rsidP="00000000" w:rsidRDefault="00000000" w:rsidRPr="00000000" w14:paraId="00000052">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53">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5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information concerning the electronic equipment used and the arrangements and technical specification for connection;</w:t>
      </w:r>
    </w:p>
    <w:p w:rsidR="00000000" w:rsidDel="00000000" w:rsidP="00000000" w:rsidRDefault="00000000" w:rsidRPr="00000000" w14:paraId="0000005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7.4, the date and time of the start of the Electronic Reverse Auction; and</w:t>
      </w:r>
    </w:p>
    <w:p w:rsidR="00000000" w:rsidDel="00000000" w:rsidP="00000000" w:rsidRDefault="00000000" w:rsidRPr="00000000" w14:paraId="0000005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when and how the Electronic Reverse Auction will close.</w:t>
      </w:r>
    </w:p>
    <w:p w:rsidR="00000000" w:rsidDel="00000000" w:rsidP="00000000" w:rsidRDefault="00000000" w:rsidRPr="00000000" w14:paraId="0000005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z w:val="24"/>
          <w:szCs w:val="24"/>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Electronic Reverse Auction may not start sooner than two (2) Working Days after the date on which the specification for the Electronic Reverse Auction has been issued.</w:t>
      </w:r>
    </w:p>
    <w:p w:rsidR="00000000" w:rsidDel="00000000" w:rsidP="00000000" w:rsidRDefault="00000000" w:rsidRPr="00000000" w14:paraId="0000005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each phase of the Electronic Reverse Auction the Buyer will communicate to all Suppliers sufficient information to enable them to ascertain their relative ranking.</w:t>
      </w:r>
    </w:p>
    <w:p w:rsidR="00000000" w:rsidDel="00000000" w:rsidP="00000000" w:rsidRDefault="00000000" w:rsidRPr="00000000" w14:paraId="00000059">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w:t>
      </w:r>
    </w:p>
    <w:p w:rsidR="00000000" w:rsidDel="00000000" w:rsidP="00000000" w:rsidRDefault="00000000" w:rsidRPr="00000000" w14:paraId="0000005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5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its access to the Electronic Reverse Auction may occasionally be restricted to allow for repairs or maintenance; and</w:t>
      </w:r>
    </w:p>
    <w:p w:rsidR="00000000" w:rsidDel="00000000" w:rsidP="00000000" w:rsidRDefault="00000000" w:rsidRPr="00000000" w14:paraId="0000005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will comply with all such rules that may be imposed by the Buyer in relation to the operation of the Electronic Reverse Auction.</w:t>
      </w:r>
    </w:p>
    <w:p w:rsidR="00000000" w:rsidDel="00000000" w:rsidP="00000000" w:rsidRDefault="00000000" w:rsidRPr="00000000" w14:paraId="0000005D">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close the Electronic Reverse Auction on the basis of:</w:t>
      </w:r>
    </w:p>
    <w:p w:rsidR="00000000" w:rsidDel="00000000" w:rsidP="00000000" w:rsidRDefault="00000000" w:rsidRPr="00000000" w14:paraId="0000005E">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date and time fixed in advance;</w:t>
      </w:r>
    </w:p>
    <w:p w:rsidR="00000000" w:rsidDel="00000000" w:rsidP="00000000" w:rsidRDefault="00000000" w:rsidRPr="00000000" w14:paraId="0000005F">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no new prices or values meeting the minimum differences required pursuant to Paragraph 7.3 have been received within the prescribed elapsed time period; or</w:t>
      </w:r>
    </w:p>
    <w:p w:rsidR="00000000" w:rsidDel="00000000" w:rsidP="00000000" w:rsidRDefault="00000000" w:rsidRPr="00000000" w14:paraId="0000006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all the phases have been completed.]</w:t>
      </w:r>
    </w:p>
    <w:p w:rsidR="00000000" w:rsidDel="00000000" w:rsidP="00000000" w:rsidRDefault="00000000" w:rsidRPr="00000000" w14:paraId="00000061">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Awarding and creating an Exempt Call-off Contract</w:t>
      </w:r>
    </w:p>
    <w:p w:rsidR="00000000" w:rsidDel="00000000" w:rsidP="00000000" w:rsidRDefault="00000000" w:rsidRPr="00000000" w14:paraId="00000062">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 1 above shall not apply to an Exempt Buyer.</w:t>
      </w:r>
    </w:p>
    <w:p w:rsidR="00000000" w:rsidDel="00000000" w:rsidP="00000000" w:rsidRDefault="00000000" w:rsidRPr="00000000" w14:paraId="00000063">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rsidR="00000000" w:rsidDel="00000000" w:rsidP="00000000" w:rsidRDefault="00000000" w:rsidRPr="00000000" w14:paraId="00000064">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potential Exempt Buyer may award an Exempt Call-off Contract under this Framework Contract without holding a further competition in accordance with Paragraph 2 above as modified by Paragraph 8.4 below or through a Further Competition Procedure in accordance with Paragraph 3 as modified by Paragraph 8.5 below.</w:t>
      </w:r>
    </w:p>
    <w:p w:rsidR="00000000" w:rsidDel="00000000" w:rsidP="00000000" w:rsidRDefault="00000000" w:rsidRPr="00000000" w14:paraId="00000065">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the procedure set out in Paragraph 2 above, if the potential Exempt Buyer can determine that:</w:t>
      </w:r>
    </w:p>
    <w:p w:rsidR="00000000" w:rsidDel="00000000" w:rsidP="00000000" w:rsidRDefault="00000000" w:rsidRPr="00000000" w14:paraId="0000006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6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3641"/>
        </w:tabs>
        <w:spacing w:after="120" w:before="120" w:line="240" w:lineRule="auto"/>
        <w:ind w:left="2610" w:right="0" w:hanging="72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accept any required Exempt Procurement Amendments,</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tabs>
          <w:tab w:val="left" w:pos="3641"/>
        </w:tabs>
        <w:spacing w:after="120" w:before="120" w:line="240" w:lineRule="auto"/>
        <w:ind w:left="189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then the Exempt Buyer may award an Exempt Call-off Contract to that Supplier in accordance with Paragraph 6 above.</w:t>
      </w:r>
    </w:p>
    <w:p w:rsidR="00000000" w:rsidDel="00000000" w:rsidP="00000000" w:rsidRDefault="00000000" w:rsidRPr="00000000" w14:paraId="00000069">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6A">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Paragraphs 8.1 to 8.5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6B">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pos="305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left" w:pos="3054"/>
        </w:tabs>
        <w:spacing w:after="120" w:before="120" w:line="240" w:lineRule="auto"/>
        <w:ind w:left="936" w:right="0" w:hanging="576"/>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2: Award Criteria</w:t>
      </w:r>
      <w:r w:rsidDel="00000000" w:rsidR="00000000" w:rsidRPr="00000000">
        <w:rPr>
          <w:rtl w:val="0"/>
        </w:rPr>
      </w:r>
    </w:p>
    <w:p w:rsidR="00000000" w:rsidDel="00000000" w:rsidP="00000000" w:rsidRDefault="00000000" w:rsidRPr="00000000" w14:paraId="0000006E">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6F">
      <w:pPr>
        <w:keepNext w:val="0"/>
        <w:keepLines w:val="0"/>
        <w:widowControl w:val="1"/>
        <w:numPr>
          <w:ilvl w:val="0"/>
          <w:numId w:val="3"/>
        </w:numPr>
        <w:pBdr>
          <w:top w:space="0" w:sz="0" w:val="nil"/>
          <w:left w:space="0" w:sz="0" w:val="nil"/>
          <w:bottom w:space="0" w:sz="0" w:val="nil"/>
          <w:right w:space="0" w:sz="0" w:val="nil"/>
          <w:between w:space="0" w:sz="0" w:val="nil"/>
        </w:pBdr>
        <w:shd w:fill="auto" w:val="clear"/>
        <w:tabs>
          <w:tab w:val="left"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Call-Off Contract may be awarded on the basis of most economically advantageous tender ("MEAT").</w:t>
      </w:r>
    </w:p>
    <w:p w:rsidR="00000000" w:rsidDel="00000000" w:rsidP="00000000" w:rsidRDefault="00000000" w:rsidRPr="00000000" w14:paraId="00000070">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1">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Direct award criteria</w:t>
      </w: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criteria and weightings shall apply to the evaluation for direct award of each Call-Off.</w:t>
      </w:r>
    </w:p>
    <w:tbl>
      <w:tblPr>
        <w:tblStyle w:val="Table1"/>
        <w:tblW w:w="9214.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4"/>
        <w:gridCol w:w="5670"/>
        <w:tblGridChange w:id="0">
          <w:tblGrid>
            <w:gridCol w:w="3544"/>
            <w:gridCol w:w="5670"/>
          </w:tblGrid>
        </w:tblGridChange>
      </w:tblGrid>
      <w:tr>
        <w:trPr>
          <w:trHeight w:val="240" w:hRule="atLeast"/>
        </w:trPr>
        <w:tc>
          <w:tcPr>
            <w:gridSpan w:val="2"/>
            <w:shd w:fill="e7e6e6" w:val="clear"/>
          </w:tcPr>
          <w:p w:rsidR="00000000" w:rsidDel="00000000" w:rsidP="00000000" w:rsidRDefault="00000000" w:rsidRPr="00000000" w14:paraId="00000073">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Central Government Body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Criteria </w:t>
            </w:r>
          </w:p>
        </w:tc>
      </w:tr>
      <w:tr>
        <w:tc>
          <w:tcPr>
            <w:gridSpan w:val="2"/>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280" w:before="120" w:line="259" w:lineRule="auto"/>
              <w:ind w:left="141.73228346456688" w:right="0" w:firstLine="0"/>
              <w:jc w:val="left"/>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Value for money: e.g. the </w:t>
            </w:r>
            <w:r w:rsidDel="00000000" w:rsidR="00000000" w:rsidRPr="00000000">
              <w:rPr>
                <w:rFonts w:ascii="Arial" w:cs="Arial" w:eastAsia="Arial" w:hAnsi="Arial"/>
                <w:highlight w:val="white"/>
                <w:rtl w:val="0"/>
              </w:rPr>
              <w:t xml:space="preserve">Central Government Body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believes that the Supplier provides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demonstrable value for money, which includes but is not limited to:</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41.73228346456688" w:right="0" w:firstLine="0"/>
              <w:jc w:val="left"/>
              <w:rPr>
                <w:rFonts w:ascii="Arial" w:cs="Arial" w:eastAsia="Arial" w:hAnsi="Arial"/>
                <w:highlight w:val="whit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Cost effectiveness;</w:t>
            </w:r>
            <w:r w:rsidDel="00000000" w:rsidR="00000000" w:rsidRPr="00000000">
              <w:rPr>
                <w:rtl w:val="0"/>
              </w:rPr>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41.73228346456688" w:right="0" w:firstLine="0"/>
              <w:jc w:val="left"/>
              <w:rPr>
                <w:rFonts w:ascii="Arial" w:cs="Arial" w:eastAsia="Arial" w:hAnsi="Arial"/>
                <w:highlight w:val="white"/>
              </w:rPr>
            </w:pPr>
            <w:r w:rsidDel="00000000" w:rsidR="00000000" w:rsidRPr="00000000">
              <w:rPr>
                <w:rFonts w:ascii="Arial" w:cs="Arial" w:eastAsia="Arial" w:hAnsi="Arial"/>
                <w:highlight w:val="white"/>
                <w:rtl w:val="0"/>
              </w:rPr>
              <w:t xml:space="preserve">● Social value;</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41.73228346456688" w:right="0" w:firstLine="0"/>
              <w:jc w:val="left"/>
              <w:rPr>
                <w:rFonts w:ascii="Arial" w:cs="Arial" w:eastAsia="Arial" w:hAnsi="Arial"/>
                <w:b w:val="0"/>
                <w:i w:val="0"/>
                <w:smallCaps w:val="0"/>
                <w:strike w:val="0"/>
                <w:color w:val="000000"/>
                <w:sz w:val="22"/>
                <w:szCs w:val="22"/>
                <w:highlight w:val="white"/>
                <w:u w:val="none"/>
                <w:vertAlign w:val="baseline"/>
              </w:rPr>
            </w:pP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Price; and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r w:rsidDel="00000000" w:rsidR="00000000" w:rsidRPr="00000000">
              <w:rPr>
                <w:rFonts w:ascii="Arial" w:cs="Arial" w:eastAsia="Arial" w:hAnsi="Arial"/>
                <w:b w:val="0"/>
                <w:i w:val="0"/>
                <w:smallCaps w:val="0"/>
                <w:strike w:val="0"/>
                <w:color w:val="000000"/>
                <w:sz w:val="22"/>
                <w:szCs w:val="22"/>
                <w:highlight w:val="white"/>
                <w:u w:val="none"/>
                <w:vertAlign w:val="baseline"/>
                <w:rtl w:val="0"/>
              </w:rPr>
              <w:t xml:space="preserve">● Quality.</w:t>
            </w:r>
          </w:p>
        </w:tc>
      </w:tr>
    </w:tbl>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B">
      <w:pPr>
        <w:widowControl w:val="1"/>
        <w:tabs>
          <w:tab w:val="left" w:pos="851"/>
        </w:tabs>
        <w:spacing w:after="240" w:lineRule="auto"/>
        <w:jc w:val="both"/>
        <w:rPr>
          <w:rFonts w:ascii="Arial" w:cs="Arial" w:eastAsia="Arial" w:hAnsi="Arial"/>
          <w:sz w:val="24"/>
          <w:szCs w:val="24"/>
        </w:rPr>
      </w:pPr>
      <w:r w:rsidDel="00000000" w:rsidR="00000000" w:rsidRPr="00000000">
        <w:rPr>
          <w:rtl w:val="0"/>
        </w:rPr>
      </w:r>
    </w:p>
    <w:tbl>
      <w:tblPr>
        <w:tblStyle w:val="Table2"/>
        <w:tblW w:w="9214.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4"/>
        <w:gridCol w:w="5670"/>
        <w:tblGridChange w:id="0">
          <w:tblGrid>
            <w:gridCol w:w="3544"/>
            <w:gridCol w:w="5670"/>
          </w:tblGrid>
        </w:tblGridChange>
      </w:tblGrid>
      <w:tr>
        <w:trPr>
          <w:trHeight w:val="240" w:hRule="atLeast"/>
        </w:trPr>
        <w:tc>
          <w:tcPr>
            <w:gridSpan w:val="2"/>
            <w:shd w:fill="e7e6e6" w:val="clear"/>
          </w:tcPr>
          <w:p w:rsidR="00000000" w:rsidDel="00000000" w:rsidP="00000000" w:rsidRDefault="00000000" w:rsidRPr="00000000" w14:paraId="0000007C">
            <w:pPr>
              <w:keepNext w:val="1"/>
              <w:widowControl w:val="1"/>
              <w:spacing w:after="120" w:before="120" w:lineRule="auto"/>
              <w:ind w:left="142"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Buyers excluding Central Government Bodies Criteria </w:t>
            </w:r>
          </w:p>
        </w:tc>
      </w:tr>
      <w:tr>
        <w:tc>
          <w:tcPr>
            <w:gridSpan w:val="2"/>
          </w:tcPr>
          <w:p w:rsidR="00000000" w:rsidDel="00000000" w:rsidP="00000000" w:rsidRDefault="00000000" w:rsidRPr="00000000" w14:paraId="0000007E">
            <w:pPr>
              <w:widowControl w:val="1"/>
              <w:spacing w:after="280" w:before="120" w:line="259" w:lineRule="auto"/>
              <w:ind w:left="141.73228346456688" w:firstLine="0"/>
              <w:rPr>
                <w:rFonts w:ascii="Arial" w:cs="Arial" w:eastAsia="Arial" w:hAnsi="Arial"/>
                <w:highlight w:val="white"/>
              </w:rPr>
            </w:pPr>
            <w:r w:rsidDel="00000000" w:rsidR="00000000" w:rsidRPr="00000000">
              <w:rPr>
                <w:rFonts w:ascii="Arial" w:cs="Arial" w:eastAsia="Arial" w:hAnsi="Arial"/>
                <w:highlight w:val="white"/>
                <w:rtl w:val="0"/>
              </w:rPr>
              <w:t xml:space="preserve">Value for money: e.g. the Buyer (excluding Central Government Bodies) believes that the Supplier provides</w:t>
            </w:r>
            <w:r w:rsidDel="00000000" w:rsidR="00000000" w:rsidRPr="00000000">
              <w:rPr>
                <w:rFonts w:ascii="Arial" w:cs="Arial" w:eastAsia="Arial" w:hAnsi="Arial"/>
                <w:rtl w:val="0"/>
              </w:rPr>
              <w:t xml:space="preserve"> </w:t>
            </w:r>
            <w:r w:rsidDel="00000000" w:rsidR="00000000" w:rsidRPr="00000000">
              <w:rPr>
                <w:rFonts w:ascii="Arial" w:cs="Arial" w:eastAsia="Arial" w:hAnsi="Arial"/>
                <w:highlight w:val="white"/>
                <w:rtl w:val="0"/>
              </w:rPr>
              <w:t xml:space="preserve">demonstrable value for money, which may include but is not limited to:</w:t>
            </w:r>
          </w:p>
          <w:p w:rsidR="00000000" w:rsidDel="00000000" w:rsidP="00000000" w:rsidRDefault="00000000" w:rsidRPr="00000000" w14:paraId="0000007F">
            <w:pPr>
              <w:widowControl w:val="1"/>
              <w:ind w:left="141.73228346456688" w:firstLine="0"/>
              <w:rPr>
                <w:rFonts w:ascii="Arial" w:cs="Arial" w:eastAsia="Arial" w:hAnsi="Arial"/>
                <w:highlight w:val="white"/>
              </w:rPr>
            </w:pPr>
            <w:r w:rsidDel="00000000" w:rsidR="00000000" w:rsidRPr="00000000">
              <w:rPr>
                <w:rFonts w:ascii="Arial" w:cs="Arial" w:eastAsia="Arial" w:hAnsi="Arial"/>
                <w:highlight w:val="white"/>
                <w:rtl w:val="0"/>
              </w:rPr>
              <w:t xml:space="preserve">● Cost effectiveness;</w:t>
            </w:r>
          </w:p>
          <w:p w:rsidR="00000000" w:rsidDel="00000000" w:rsidP="00000000" w:rsidRDefault="00000000" w:rsidRPr="00000000" w14:paraId="00000080">
            <w:pPr>
              <w:widowControl w:val="1"/>
              <w:ind w:left="141.73228346456688" w:firstLine="0"/>
              <w:rPr>
                <w:rFonts w:ascii="Arial" w:cs="Arial" w:eastAsia="Arial" w:hAnsi="Arial"/>
                <w:highlight w:val="white"/>
              </w:rPr>
            </w:pPr>
            <w:r w:rsidDel="00000000" w:rsidR="00000000" w:rsidRPr="00000000">
              <w:rPr>
                <w:rFonts w:ascii="Arial" w:cs="Arial" w:eastAsia="Arial" w:hAnsi="Arial"/>
                <w:highlight w:val="white"/>
                <w:rtl w:val="0"/>
              </w:rPr>
              <w:t xml:space="preserve">● Social value;</w:t>
            </w:r>
          </w:p>
          <w:p w:rsidR="00000000" w:rsidDel="00000000" w:rsidP="00000000" w:rsidRDefault="00000000" w:rsidRPr="00000000" w14:paraId="00000081">
            <w:pPr>
              <w:widowControl w:val="1"/>
              <w:ind w:left="141.73228346456688" w:firstLine="0"/>
              <w:rPr>
                <w:rFonts w:ascii="Arial" w:cs="Arial" w:eastAsia="Arial" w:hAnsi="Arial"/>
                <w:highlight w:val="white"/>
              </w:rPr>
            </w:pPr>
            <w:r w:rsidDel="00000000" w:rsidR="00000000" w:rsidRPr="00000000">
              <w:rPr>
                <w:rFonts w:ascii="Arial" w:cs="Arial" w:eastAsia="Arial" w:hAnsi="Arial"/>
                <w:highlight w:val="white"/>
                <w:rtl w:val="0"/>
              </w:rPr>
              <w:t xml:space="preserve">● Price; and</w:t>
            </w:r>
            <w:r w:rsidDel="00000000" w:rsidR="00000000" w:rsidRPr="00000000">
              <w:rPr>
                <w:rFonts w:ascii="Arial" w:cs="Arial" w:eastAsia="Arial" w:hAnsi="Arial"/>
                <w:rtl w:val="0"/>
              </w:rPr>
              <w:br w:type="textWrapping"/>
            </w:r>
            <w:r w:rsidDel="00000000" w:rsidR="00000000" w:rsidRPr="00000000">
              <w:rPr>
                <w:rFonts w:ascii="Arial" w:cs="Arial" w:eastAsia="Arial" w:hAnsi="Arial"/>
                <w:highlight w:val="white"/>
                <w:rtl w:val="0"/>
              </w:rPr>
              <w:t xml:space="preserve">● Quality.</w:t>
            </w:r>
          </w:p>
        </w:tc>
      </w:tr>
    </w:tbl>
    <w:p w:rsidR="00000000" w:rsidDel="00000000" w:rsidP="00000000" w:rsidRDefault="00000000" w:rsidRPr="00000000" w14:paraId="00000083">
      <w:pPr>
        <w:keepNext w:val="1"/>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B: Further Competition Award Criteria</w:t>
      </w:r>
      <w:r w:rsidDel="00000000" w:rsidR="00000000" w:rsidRPr="00000000">
        <w:rPr>
          <w:rtl w:val="0"/>
        </w:rPr>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criteria and weightings shall apply to the evaluation of tenders received through the Further Competition Procedure:</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Central Government Bodies criteria</w:t>
      </w:r>
    </w:p>
    <w:tbl>
      <w:tblPr>
        <w:tblStyle w:val="Table3"/>
        <w:tblW w:w="847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71"/>
        <w:gridCol w:w="4154"/>
        <w:gridCol w:w="3051"/>
        <w:tblGridChange w:id="0">
          <w:tblGrid>
            <w:gridCol w:w="1271"/>
            <w:gridCol w:w="4154"/>
            <w:gridCol w:w="3051"/>
          </w:tblGrid>
        </w:tblGridChange>
      </w:tblGrid>
      <w:tr>
        <w:tc>
          <w:tcPr>
            <w:shd w:fill="e7e6e6" w:val="clear"/>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120" w:before="12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120" w:before="120" w:line="24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Percentage Weightings (or rank order of importance where applicable) - to be set by the </w:t>
            </w:r>
            <w:r w:rsidDel="00000000" w:rsidR="00000000" w:rsidRPr="00000000">
              <w:rPr>
                <w:rFonts w:ascii="Arial" w:cs="Arial" w:eastAsia="Arial" w:hAnsi="Arial"/>
                <w:b w:val="1"/>
                <w:rtl w:val="0"/>
              </w:rPr>
              <w:t xml:space="preserve">Central Government Body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conducting the Further Competition Procedure</w:t>
            </w:r>
          </w:p>
        </w:tc>
        <w:tc>
          <w:tcPr>
            <w:shd w:fill="e7e6e6" w:val="clear"/>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Allowable Variance </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(This may be modified by the </w:t>
            </w:r>
            <w:r w:rsidDel="00000000" w:rsidR="00000000" w:rsidRPr="00000000">
              <w:rPr>
                <w:rFonts w:ascii="Arial" w:cs="Arial" w:eastAsia="Arial" w:hAnsi="Arial"/>
                <w:b w:val="1"/>
                <w:rtl w:val="0"/>
              </w:rPr>
              <w:t xml:space="preserve">Central Government Body</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within the range below)</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tl w:val="0"/>
              </w:rPr>
            </w:r>
          </w:p>
        </w:tc>
      </w:tr>
      <w:tr>
        <w:tc>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Quality </w:t>
            </w:r>
          </w:p>
        </w:tc>
        <w:tc>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45</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tc>
        <w:tc>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rtl w:val="0"/>
              </w:rPr>
              <w:t xml:space="preserve">35</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rtl w:val="0"/>
              </w:rPr>
              <w:t xml:space="preserve">45</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w:t>
            </w:r>
            <w:r w:rsidDel="00000000" w:rsidR="00000000" w:rsidRPr="00000000">
              <w:rPr>
                <w:rFonts w:ascii="Arial" w:cs="Arial" w:eastAsia="Arial" w:hAnsi="Arial"/>
                <w:rtl w:val="0"/>
              </w:rPr>
              <w:t xml:space="preserve">80</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tc>
      </w:tr>
      <w:tr>
        <w:tc>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Price </w:t>
            </w:r>
          </w:p>
        </w:tc>
        <w:tc>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rtl w:val="0"/>
              </w:rPr>
              <w:t xml:space="preserve">45</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tc>
        <w:tc>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rtl w:val="0"/>
              </w:rPr>
              <w:t xml:space="preserve">35</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(10% to </w:t>
            </w:r>
            <w:r w:rsidDel="00000000" w:rsidR="00000000" w:rsidRPr="00000000">
              <w:rPr>
                <w:rFonts w:ascii="Arial" w:cs="Arial" w:eastAsia="Arial" w:hAnsi="Arial"/>
                <w:rtl w:val="0"/>
              </w:rPr>
              <w:t xml:space="preserve">45</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tc>
      </w:tr>
      <w:tr>
        <w:tc>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rtl w:val="0"/>
              </w:rPr>
              <w:t xml:space="preserve">Social Value </w:t>
            </w:r>
            <w:r w:rsidDel="00000000" w:rsidR="00000000" w:rsidRPr="00000000">
              <w:rPr>
                <w:rtl w:val="0"/>
              </w:rPr>
            </w:r>
          </w:p>
        </w:tc>
        <w:tc>
          <w:tcPr/>
          <w:p w:rsidR="00000000" w:rsidDel="00000000" w:rsidP="00000000" w:rsidRDefault="00000000" w:rsidRPr="00000000" w14:paraId="00000091">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10% </w:t>
            </w:r>
          </w:p>
          <w:p w:rsidR="00000000" w:rsidDel="00000000" w:rsidP="00000000" w:rsidRDefault="00000000" w:rsidRPr="00000000" w14:paraId="00000092">
            <w:pPr>
              <w:widowControl w:val="1"/>
              <w:tabs>
                <w:tab w:val="left" w:pos="851"/>
              </w:tabs>
              <w:spacing w:after="240" w:lineRule="auto"/>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rtl w:val="0"/>
              </w:rPr>
              <w:t xml:space="preserve">+10% (10% to 30%)</w:t>
            </w:r>
            <w:r w:rsidDel="00000000" w:rsidR="00000000" w:rsidRPr="00000000">
              <w:rPr>
                <w:rtl w:val="0"/>
              </w:rPr>
            </w:r>
          </w:p>
        </w:tc>
      </w:tr>
    </w:tbl>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95">
      <w:pPr>
        <w:keepNext w:val="1"/>
        <w:widowControl w:val="1"/>
        <w:tabs>
          <w:tab w:val="left" w:pos="851"/>
        </w:tabs>
        <w:spacing w:after="120" w:before="120" w:lineRule="auto"/>
        <w:ind w:left="0" w:firstLine="0"/>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Buyers excluding Central Government Bodies Criteria </w:t>
      </w:r>
      <w:r w:rsidDel="00000000" w:rsidR="00000000" w:rsidRPr="00000000">
        <w:rPr>
          <w:rtl w:val="0"/>
        </w:rPr>
      </w:r>
    </w:p>
    <w:tbl>
      <w:tblPr>
        <w:tblStyle w:val="Table4"/>
        <w:tblW w:w="847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71"/>
        <w:gridCol w:w="4154"/>
        <w:gridCol w:w="3051"/>
        <w:tblGridChange w:id="0">
          <w:tblGrid>
            <w:gridCol w:w="1271"/>
            <w:gridCol w:w="4154"/>
            <w:gridCol w:w="3051"/>
          </w:tblGrid>
        </w:tblGridChange>
      </w:tblGrid>
      <w:tr>
        <w:tc>
          <w:tcPr>
            <w:shd w:fill="e7e6e6" w:val="clear"/>
          </w:tcPr>
          <w:p w:rsidR="00000000" w:rsidDel="00000000" w:rsidP="00000000" w:rsidRDefault="00000000" w:rsidRPr="00000000" w14:paraId="00000096">
            <w:pPr>
              <w:widowControl w:val="1"/>
              <w:tabs>
                <w:tab w:val="left" w:pos="851"/>
              </w:tabs>
              <w:spacing w:after="120" w:before="120" w:lineRule="auto"/>
              <w:jc w:val="both"/>
              <w:rPr>
                <w:rFonts w:ascii="Arial" w:cs="Arial" w:eastAsia="Arial" w:hAnsi="Arial"/>
              </w:rPr>
            </w:pPr>
            <w:r w:rsidDel="00000000" w:rsidR="00000000" w:rsidRPr="00000000">
              <w:rPr>
                <w:rFonts w:ascii="Arial" w:cs="Arial" w:eastAsia="Arial" w:hAnsi="Arial"/>
                <w:b w:val="1"/>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97">
            <w:pPr>
              <w:widowControl w:val="1"/>
              <w:tabs>
                <w:tab w:val="left" w:pos="851"/>
              </w:tabs>
              <w:spacing w:after="120" w:before="120" w:lineRule="auto"/>
              <w:jc w:val="both"/>
              <w:rPr>
                <w:rFonts w:ascii="Arial" w:cs="Arial" w:eastAsia="Arial" w:hAnsi="Arial"/>
                <w:b w:val="1"/>
              </w:rPr>
            </w:pPr>
            <w:r w:rsidDel="00000000" w:rsidR="00000000" w:rsidRPr="00000000">
              <w:rPr>
                <w:rFonts w:ascii="Arial" w:cs="Arial" w:eastAsia="Arial" w:hAnsi="Arial"/>
                <w:b w:val="1"/>
                <w:rtl w:val="0"/>
              </w:rPr>
              <w:t xml:space="preserve">Percentage Weightings (or rank order of importance where applicable) - to be set by the Buyer excluding Central Government Bodies conducting the Further Competition Procedure</w:t>
            </w:r>
          </w:p>
        </w:tc>
        <w:tc>
          <w:tcPr>
            <w:shd w:fill="e7e6e6" w:val="clear"/>
          </w:tcPr>
          <w:p w:rsidR="00000000" w:rsidDel="00000000" w:rsidP="00000000" w:rsidRDefault="00000000" w:rsidRPr="00000000" w14:paraId="00000098">
            <w:pPr>
              <w:widowControl w:val="1"/>
              <w:tabs>
                <w:tab w:val="left" w:pos="851"/>
              </w:tabs>
              <w:spacing w:after="240" w:lineRule="auto"/>
              <w:jc w:val="both"/>
              <w:rPr>
                <w:rFonts w:ascii="Arial" w:cs="Arial" w:eastAsia="Arial" w:hAnsi="Arial"/>
                <w:b w:val="1"/>
              </w:rPr>
            </w:pPr>
            <w:r w:rsidDel="00000000" w:rsidR="00000000" w:rsidRPr="00000000">
              <w:rPr>
                <w:rFonts w:ascii="Arial" w:cs="Arial" w:eastAsia="Arial" w:hAnsi="Arial"/>
                <w:b w:val="1"/>
                <w:rtl w:val="0"/>
              </w:rPr>
              <w:t xml:space="preserve">Allowable Variance </w:t>
            </w:r>
          </w:p>
          <w:p w:rsidR="00000000" w:rsidDel="00000000" w:rsidP="00000000" w:rsidRDefault="00000000" w:rsidRPr="00000000" w14:paraId="00000099">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b w:val="1"/>
                <w:rtl w:val="0"/>
              </w:rPr>
              <w:t xml:space="preserve">(This may be modified by the Buyer </w:t>
            </w:r>
            <w:r w:rsidDel="00000000" w:rsidR="00000000" w:rsidRPr="00000000">
              <w:rPr>
                <w:rFonts w:ascii="Arial" w:cs="Arial" w:eastAsia="Arial" w:hAnsi="Arial"/>
                <w:b w:val="1"/>
                <w:rtl w:val="0"/>
              </w:rPr>
              <w:t xml:space="preserve">excluding Central Government Bodies</w:t>
            </w:r>
            <w:r w:rsidDel="00000000" w:rsidR="00000000" w:rsidRPr="00000000">
              <w:rPr>
                <w:rFonts w:ascii="Arial" w:cs="Arial" w:eastAsia="Arial" w:hAnsi="Arial"/>
                <w:b w:val="1"/>
                <w:rtl w:val="0"/>
              </w:rPr>
              <w:t xml:space="preserve"> within the range below)</w:t>
            </w:r>
            <w:r w:rsidDel="00000000" w:rsidR="00000000" w:rsidRPr="00000000">
              <w:rPr>
                <w:rtl w:val="0"/>
              </w:rPr>
              <w:t xml:space="preserve"> </w:t>
            </w:r>
            <w:r w:rsidDel="00000000" w:rsidR="00000000" w:rsidRPr="00000000">
              <w:rPr>
                <w:rtl w:val="0"/>
              </w:rPr>
            </w:r>
          </w:p>
        </w:tc>
      </w:tr>
      <w:tr>
        <w:tc>
          <w:tcPr/>
          <w:p w:rsidR="00000000" w:rsidDel="00000000" w:rsidP="00000000" w:rsidRDefault="00000000" w:rsidRPr="00000000" w14:paraId="0000009A">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Quality </w:t>
            </w:r>
          </w:p>
        </w:tc>
        <w:tc>
          <w:tcPr/>
          <w:p w:rsidR="00000000" w:rsidDel="00000000" w:rsidP="00000000" w:rsidRDefault="00000000" w:rsidRPr="00000000" w14:paraId="0000009B">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50%</w:t>
            </w:r>
          </w:p>
        </w:tc>
        <w:tc>
          <w:tcPr/>
          <w:p w:rsidR="00000000" w:rsidDel="00000000" w:rsidP="00000000" w:rsidRDefault="00000000" w:rsidRPr="00000000" w14:paraId="0000009C">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+ 40% (50% to 90%) </w:t>
            </w:r>
          </w:p>
        </w:tc>
      </w:tr>
      <w:tr>
        <w:tc>
          <w:tcPr/>
          <w:p w:rsidR="00000000" w:rsidDel="00000000" w:rsidP="00000000" w:rsidRDefault="00000000" w:rsidRPr="00000000" w14:paraId="0000009D">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Price </w:t>
            </w:r>
          </w:p>
        </w:tc>
        <w:tc>
          <w:tcPr/>
          <w:p w:rsidR="00000000" w:rsidDel="00000000" w:rsidP="00000000" w:rsidRDefault="00000000" w:rsidRPr="00000000" w14:paraId="0000009E">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50%</w:t>
            </w:r>
          </w:p>
        </w:tc>
        <w:tc>
          <w:tcPr/>
          <w:p w:rsidR="00000000" w:rsidDel="00000000" w:rsidP="00000000" w:rsidRDefault="00000000" w:rsidRPr="00000000" w14:paraId="0000009F">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- 40% (10% to 50%) </w:t>
            </w:r>
          </w:p>
        </w:tc>
      </w:tr>
      <w:tr>
        <w:tc>
          <w:tcPr/>
          <w:p w:rsidR="00000000" w:rsidDel="00000000" w:rsidP="00000000" w:rsidRDefault="00000000" w:rsidRPr="00000000" w14:paraId="000000A0">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Social Value </w:t>
            </w:r>
          </w:p>
        </w:tc>
        <w:tc>
          <w:tcPr/>
          <w:p w:rsidR="00000000" w:rsidDel="00000000" w:rsidP="00000000" w:rsidRDefault="00000000" w:rsidRPr="00000000" w14:paraId="000000A1">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0%</w:t>
            </w:r>
          </w:p>
          <w:p w:rsidR="00000000" w:rsidDel="00000000" w:rsidP="00000000" w:rsidRDefault="00000000" w:rsidRPr="00000000" w14:paraId="000000A2">
            <w:pPr>
              <w:widowControl w:val="1"/>
              <w:tabs>
                <w:tab w:val="left" w:pos="851"/>
              </w:tabs>
              <w:spacing w:after="240" w:lineRule="auto"/>
              <w:jc w:val="both"/>
              <w:rPr>
                <w:rFonts w:ascii="Arial" w:cs="Arial" w:eastAsia="Arial" w:hAnsi="Arial"/>
              </w:rPr>
            </w:pPr>
            <w:r w:rsidDel="00000000" w:rsidR="00000000" w:rsidRPr="00000000">
              <w:rPr>
                <w:rtl w:val="0"/>
              </w:rPr>
            </w:r>
          </w:p>
        </w:tc>
        <w:tc>
          <w:tcPr/>
          <w:p w:rsidR="00000000" w:rsidDel="00000000" w:rsidP="00000000" w:rsidRDefault="00000000" w:rsidRPr="00000000" w14:paraId="000000A3">
            <w:pPr>
              <w:widowControl w:val="1"/>
              <w:tabs>
                <w:tab w:val="left" w:pos="851"/>
              </w:tabs>
              <w:spacing w:after="240" w:lineRule="auto"/>
              <w:jc w:val="both"/>
              <w:rPr>
                <w:rFonts w:ascii="Arial" w:cs="Arial" w:eastAsia="Arial" w:hAnsi="Arial"/>
              </w:rPr>
            </w:pPr>
            <w:r w:rsidDel="00000000" w:rsidR="00000000" w:rsidRPr="00000000">
              <w:rPr>
                <w:rFonts w:ascii="Arial" w:cs="Arial" w:eastAsia="Arial" w:hAnsi="Arial"/>
                <w:rtl w:val="0"/>
              </w:rPr>
              <w:t xml:space="preserve">+ 30% (0% to 30%)</w:t>
            </w:r>
          </w:p>
        </w:tc>
      </w:tr>
    </w:tbl>
    <w:p w:rsidR="00000000" w:rsidDel="00000000" w:rsidP="00000000" w:rsidRDefault="00000000" w:rsidRPr="00000000" w14:paraId="000000A4">
      <w:pPr>
        <w:widowControl w:val="1"/>
        <w:tabs>
          <w:tab w:val="left" w:pos="851"/>
        </w:tabs>
        <w:spacing w:after="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C">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AD">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E">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F">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RM6188</w:t>
      <w:tab/>
      <w:t xml:space="preserve">                                           </w:t>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1">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v3.1</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7 (Call-Off Award Procedure)</w:t>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7 (Call-Off Award Procedure)</w:t>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rFonts w:ascii="Arial" w:cs="Arial" w:eastAsia="Arial" w:hAnsi="Arial"/>
        <w:b w:val="0"/>
        <w:i w:val="0"/>
        <w:smallCaps w:val="0"/>
        <w:strike w:val="0"/>
        <w:color w:val="00000a"/>
        <w:sz w:val="24"/>
        <w:szCs w:val="24"/>
        <w:u w:val="none"/>
        <w:vertAlign w:val="baseline"/>
      </w:rPr>
    </w:lvl>
    <w:lvl w:ilvl="2">
      <w:start w:val="1"/>
      <w:numFmt w:val="decimal"/>
      <w:lvlText w:val="%1.%2.%3"/>
      <w:lvlJc w:val="left"/>
      <w:pPr>
        <w:ind w:left="2610" w:hanging="720"/>
      </w:pPr>
      <w:rPr>
        <w:rFonts w:ascii="Arial" w:cs="Arial" w:eastAsia="Arial" w:hAnsi="Arial"/>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32FDD"/>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textAlignment w:val="auto"/>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textAlignment w:val="auto"/>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textAlignment w:val="auto"/>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textAlignment w:val="auto"/>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textAlignment w:val="auto"/>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textAlignment w:val="auto"/>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textAlignment w:val="auto"/>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pPr>
      <w:numPr>
        <w:numId w:val="1"/>
      </w:numPr>
    </w:pPr>
  </w:style>
  <w:style w:type="numbering" w:styleId="WWNum1" w:customStyle="1">
    <w:name w:val="WWNum1"/>
    <w:basedOn w:val="NoList"/>
    <w:pPr>
      <w:numPr>
        <w:numId w:val="2"/>
      </w:numPr>
    </w:pPr>
  </w:style>
  <w:style w:type="numbering" w:styleId="WWNum2" w:customStyle="1">
    <w:name w:val="WWNum2"/>
    <w:basedOn w:val="NoList"/>
    <w:pPr>
      <w:numPr>
        <w:numId w:val="3"/>
      </w:numPr>
    </w:pPr>
  </w:style>
  <w:style w:type="numbering" w:styleId="WWNum3" w:customStyle="1">
    <w:name w:val="WWNum3"/>
    <w:basedOn w:val="NoList"/>
    <w:pPr>
      <w:numPr>
        <w:numId w:val="4"/>
      </w:numPr>
    </w:pPr>
  </w:style>
  <w:style w:type="numbering" w:styleId="WWNum4" w:customStyle="1">
    <w:name w:val="WWNum4"/>
    <w:basedOn w:val="NoList"/>
    <w:pPr>
      <w:numPr>
        <w:numId w:val="5"/>
      </w:numPr>
    </w:pPr>
  </w:style>
  <w:style w:type="numbering" w:styleId="WWNum5" w:customStyle="1">
    <w:name w:val="WWNum5"/>
    <w:basedOn w:val="NoList"/>
    <w:pPr>
      <w:numPr>
        <w:numId w:val="6"/>
      </w:numPr>
    </w:pPr>
  </w:style>
  <w:style w:type="numbering" w:styleId="WWNum6" w:customStyle="1">
    <w:name w:val="WWNum6"/>
    <w:basedOn w:val="NoList"/>
    <w:pPr>
      <w:numPr>
        <w:numId w:val="7"/>
      </w:numPr>
    </w:pPr>
  </w:style>
  <w:style w:type="numbering" w:styleId="WWNum7" w:customStyle="1">
    <w:name w:val="WWNum7"/>
    <w:basedOn w:val="NoList"/>
    <w:pPr>
      <w:numPr>
        <w:numId w:val="8"/>
      </w:numPr>
    </w:pPr>
  </w:style>
  <w:style w:type="numbering" w:styleId="WWNum8" w:customStyle="1">
    <w:name w:val="WWNum8"/>
    <w:basedOn w:val="NoList"/>
    <w:pPr>
      <w:numPr>
        <w:numId w:val="9"/>
      </w:numPr>
    </w:pPr>
  </w:style>
  <w:style w:type="numbering" w:styleId="WWNum9" w:customStyle="1">
    <w:name w:val="WWNum9"/>
    <w:basedOn w:val="NoList"/>
    <w:pPr>
      <w:numPr>
        <w:numId w:val="10"/>
      </w:numPr>
    </w:pPr>
  </w:style>
  <w:style w:type="numbering" w:styleId="WWNum10" w:customStyle="1">
    <w:name w:val="WWNum10"/>
    <w:basedOn w:val="NoList"/>
    <w:pPr>
      <w:numPr>
        <w:numId w:val="11"/>
      </w:numPr>
    </w:pPr>
  </w:style>
  <w:style w:type="numbering" w:styleId="WWNum11" w:customStyle="1">
    <w:name w:val="WWNum11"/>
    <w:basedOn w:val="NoList"/>
    <w:pPr>
      <w:numPr>
        <w:numId w:val="12"/>
      </w:numPr>
    </w:pPr>
  </w:style>
  <w:style w:type="numbering" w:styleId="WWNum12" w:customStyle="1">
    <w:name w:val="WWNum12"/>
    <w:basedOn w:val="NoList"/>
    <w:pPr>
      <w:numPr>
        <w:numId w:val="21"/>
      </w:numPr>
    </w:pPr>
  </w:style>
  <w:style w:type="numbering" w:styleId="WWNum13" w:customStyle="1">
    <w:name w:val="WWNum13"/>
    <w:basedOn w:val="NoList"/>
    <w:pPr>
      <w:numPr>
        <w:numId w:val="14"/>
      </w:numPr>
    </w:pPr>
  </w:style>
  <w:style w:type="table" w:styleId="TableGrid">
    <w:name w:val="Table Grid"/>
    <w:basedOn w:val="TableNormal"/>
    <w:uiPriority w:val="5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AMainHeading" w:customStyle="1">
    <w:name w:val="FA: Main Heading"/>
    <w:basedOn w:val="Heading1"/>
    <w:qFormat w:val="1"/>
    <w:rsid w:val="00532FDD"/>
    <w:pPr>
      <w:numPr>
        <w:numId w:val="22"/>
      </w:numPr>
      <w:tabs>
        <w:tab w:val="num" w:pos="360"/>
      </w:tabs>
      <w:suppressAutoHyphens w:val="0"/>
      <w:autoSpaceDN w:val="1"/>
      <w:spacing w:after="20" w:before="20"/>
      <w:ind w:left="0" w:firstLine="0"/>
      <w:textAlignment w:val="auto"/>
    </w:pPr>
    <w:rPr>
      <w:rFonts w:ascii="Arial" w:cs="Arial" w:eastAsia="Calibri" w:hAnsi="Arial"/>
      <w:b w:val="1"/>
      <w:color w:val="auto"/>
      <w:sz w:val="22"/>
      <w:szCs w:val="36"/>
      <w:lang w:eastAsia="en-GB"/>
    </w:rPr>
  </w:style>
  <w:style w:type="paragraph" w:styleId="FALevel1" w:customStyle="1">
    <w:name w:val="FA: Level 1"/>
    <w:basedOn w:val="Normal"/>
    <w:link w:val="FALevel1Char"/>
    <w:qFormat w:val="1"/>
    <w:rsid w:val="00532FDD"/>
    <w:pPr>
      <w:widowControl w:val="1"/>
      <w:numPr>
        <w:ilvl w:val="1"/>
        <w:numId w:val="22"/>
      </w:numPr>
      <w:suppressAutoHyphens w:val="0"/>
      <w:autoSpaceDN w:val="1"/>
      <w:spacing w:after="280" w:before="120" w:line="259" w:lineRule="auto"/>
      <w:textAlignment w:val="auto"/>
    </w:pPr>
    <w:rPr>
      <w:rFonts w:ascii="Arial" w:cs="Arial" w:hAnsi="Arial" w:eastAsiaTheme="minorHAnsi"/>
    </w:rPr>
  </w:style>
  <w:style w:type="character" w:styleId="FALevel1Char" w:customStyle="1">
    <w:name w:val="FA: Level 1 Char"/>
    <w:basedOn w:val="DefaultParagraphFont"/>
    <w:link w:val="FALevel1"/>
    <w:rsid w:val="00532FDD"/>
    <w:rPr>
      <w:rFonts w:ascii="Arial" w:cs="Arial" w:hAnsi="Arial" w:eastAsiaTheme="minorHAnsi"/>
    </w:rPr>
  </w:style>
  <w:style w:type="paragraph" w:styleId="FALevel2" w:customStyle="1">
    <w:name w:val="FA: Level 2"/>
    <w:basedOn w:val="Normal"/>
    <w:link w:val="FALevel2Char"/>
    <w:qFormat w:val="1"/>
    <w:rsid w:val="00532FDD"/>
    <w:pPr>
      <w:widowControl w:val="1"/>
      <w:numPr>
        <w:ilvl w:val="2"/>
        <w:numId w:val="22"/>
      </w:numPr>
      <w:suppressAutoHyphens w:val="0"/>
      <w:autoSpaceDN w:val="1"/>
      <w:spacing w:after="280" w:before="120" w:line="259" w:lineRule="auto"/>
      <w:textAlignment w:val="auto"/>
    </w:pPr>
    <w:rPr>
      <w:rFonts w:ascii="Arial" w:cs="Arial" w:hAnsi="Arial" w:eastAsiaTheme="minorHAnsi"/>
    </w:rPr>
  </w:style>
  <w:style w:type="character" w:styleId="FALevel2Char" w:customStyle="1">
    <w:name w:val="FA: Level 2 Char"/>
    <w:basedOn w:val="DefaultParagraphFont"/>
    <w:link w:val="FALevel2"/>
    <w:rsid w:val="00532FDD"/>
    <w:rPr>
      <w:rFonts w:ascii="Arial" w:cs="Arial" w:hAnsi="Arial" w:eastAsiaTheme="minorHAnsi"/>
    </w:rPr>
  </w:style>
  <w:style w:type="character" w:styleId="Heading1Char" w:customStyle="1">
    <w:name w:val="Heading 1 Char"/>
    <w:basedOn w:val="DefaultParagraphFont"/>
    <w:link w:val="Heading1"/>
    <w:uiPriority w:val="9"/>
    <w:rsid w:val="00532FDD"/>
    <w:rPr>
      <w:rFonts w:asciiTheme="majorHAnsi" w:cstheme="majorBidi" w:eastAsiaTheme="majorEastAsia" w:hAnsiTheme="majorHAnsi"/>
      <w:color w:val="2f5496" w:themeColor="accent1" w:themeShade="0000BF"/>
      <w:sz w:val="32"/>
      <w:szCs w:val="32"/>
    </w:rPr>
  </w:style>
  <w:style w:type="paragraph" w:styleId="FABulletPoints" w:customStyle="1">
    <w:name w:val="FA: Bullet Points"/>
    <w:basedOn w:val="Normal"/>
    <w:link w:val="FABulletPointsChar"/>
    <w:qFormat w:val="1"/>
    <w:rsid w:val="00532FDD"/>
    <w:pPr>
      <w:widowControl w:val="1"/>
      <w:numPr>
        <w:numId w:val="23"/>
      </w:numPr>
      <w:suppressAutoHyphens w:val="0"/>
      <w:autoSpaceDN w:val="1"/>
      <w:textAlignment w:val="auto"/>
    </w:pPr>
    <w:rPr>
      <w:rFonts w:ascii="Arial" w:cs="Arial" w:hAnsi="Arial" w:eastAsiaTheme="minorHAnsi"/>
    </w:rPr>
  </w:style>
  <w:style w:type="character" w:styleId="FABulletPointsChar" w:customStyle="1">
    <w:name w:val="FA: Bullet Points Char"/>
    <w:basedOn w:val="DefaultParagraphFont"/>
    <w:link w:val="FABulletPoints"/>
    <w:rsid w:val="00532FDD"/>
    <w:rPr>
      <w:rFonts w:ascii="Arial" w:cs="Arial" w:hAnsi="Arial" w:eastAsiaTheme="minorHAnsi"/>
    </w:rPr>
  </w:style>
  <w:style w:type="paragraph" w:styleId="Revision">
    <w:name w:val="Revision"/>
    <w:hidden w:val="1"/>
    <w:uiPriority w:val="99"/>
    <w:semiHidden w:val="1"/>
    <w:rsid w:val="00CE0EDB"/>
    <w:pPr>
      <w:widowControl w:val="1"/>
      <w:suppressAutoHyphens w:val="0"/>
      <w:autoSpaceDN w:val="1"/>
      <w:textAlignment w:val="auto"/>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O4E5apD7IPU+LOwCMkhJHLPruMg==">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2020-10-20T13:41:00Z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